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0" w:afterLines="50" w:line="240" w:lineRule="auto"/>
        <w:jc w:val="both"/>
        <w:textAlignment w:val="auto"/>
        <w:rPr>
          <w:rFonts w:hint="default" w:ascii="宋体" w:hAnsi="宋体" w:eastAsia="宋体" w:cs="Times New Roman"/>
          <w:b/>
          <w:kern w:val="2"/>
          <w:sz w:val="21"/>
          <w:szCs w:val="21"/>
          <w:lang w:val="en-US" w:eastAsia="zh-CN" w:bidi="ar-SA"/>
        </w:rPr>
      </w:pPr>
      <w:r>
        <w:rPr>
          <w:rFonts w:hint="eastAsia" w:ascii="宋体" w:hAnsi="宋体" w:eastAsia="宋体" w:cs="Times New Roman"/>
          <w:b/>
          <w:sz w:val="21"/>
          <w:szCs w:val="21"/>
          <w:lang w:val="en-US" w:eastAsia="zh-CN"/>
        </w:rPr>
        <w:t>附加扩展</w:t>
      </w:r>
      <w:r>
        <w:rPr>
          <w:rFonts w:hint="eastAsia" w:ascii="宋体" w:hAnsi="宋体" w:eastAsia="宋体" w:cs="Times New Roman"/>
          <w:b/>
          <w:kern w:val="2"/>
          <w:sz w:val="21"/>
          <w:szCs w:val="21"/>
          <w:lang w:val="en-US" w:eastAsia="zh-CN" w:bidi="ar-SA"/>
        </w:rPr>
        <w:t>劳动能力鉴定职工工伤与职业病致残等级</w:t>
      </w:r>
      <w:r>
        <w:rPr>
          <w:rFonts w:hint="eastAsia" w:ascii="宋体" w:hAnsi="宋体" w:eastAsia="宋体" w:cs="Times New Roman"/>
          <w:b/>
          <w:sz w:val="21"/>
          <w:szCs w:val="21"/>
          <w:lang w:val="en-US" w:eastAsia="zh-CN"/>
        </w:rPr>
        <w:t>保</w:t>
      </w:r>
      <w:bookmarkStart w:id="17" w:name="_GoBack"/>
      <w:bookmarkEnd w:id="17"/>
      <w:r>
        <w:rPr>
          <w:rFonts w:hint="eastAsia" w:ascii="宋体" w:hAnsi="宋体" w:eastAsia="宋体" w:cs="Times New Roman"/>
          <w:b/>
          <w:sz w:val="21"/>
          <w:szCs w:val="21"/>
          <w:lang w:val="en-US" w:eastAsia="zh-CN"/>
        </w:rPr>
        <w:t>险（D款）（注册编号：C00012932322023112802481）</w:t>
      </w:r>
    </w:p>
    <w:p>
      <w:pPr>
        <w:keepNext w:val="0"/>
        <w:keepLines w:val="0"/>
        <w:pageBreakBefore w:val="0"/>
        <w:widowControl w:val="0"/>
        <w:kinsoku/>
        <w:wordWrap/>
        <w:overflowPunct/>
        <w:topLinePunct w:val="0"/>
        <w:bidi w:val="0"/>
        <w:snapToGrid/>
        <w:spacing w:after="0" w:afterLines="50" w:line="240" w:lineRule="auto"/>
        <w:jc w:val="both"/>
        <w:textAlignment w:val="auto"/>
        <w:rPr>
          <w:rFonts w:hint="eastAsia" w:asciiTheme="minorEastAsia" w:hAnsiTheme="minorEastAsia" w:eastAsiaTheme="minorEastAsia" w:cstheme="minorEastAsia"/>
          <w:b/>
          <w:bCs/>
        </w:rPr>
      </w:pPr>
    </w:p>
    <w:p>
      <w:pPr>
        <w:keepNext w:val="0"/>
        <w:keepLines w:val="0"/>
        <w:pageBreakBefore w:val="0"/>
        <w:widowControl w:val="0"/>
        <w:kinsoku/>
        <w:wordWrap/>
        <w:overflowPunct/>
        <w:topLinePunct w:val="0"/>
        <w:bidi w:val="0"/>
        <w:snapToGrid/>
        <w:spacing w:after="0" w:afterLines="50" w:line="240" w:lineRule="auto"/>
        <w:jc w:val="center"/>
        <w:textAlignment w:val="auto"/>
        <w:rPr>
          <w:rFonts w:hint="default" w:ascii="宋体" w:hAnsi="宋体" w:eastAsia="宋体" w:cs="Times New Roman"/>
          <w:b/>
          <w:sz w:val="28"/>
          <w:szCs w:val="28"/>
          <w:lang w:val="en-US" w:eastAsia="zh-CN"/>
        </w:rPr>
      </w:pPr>
      <w:bookmarkStart w:id="0" w:name="OLE_LINK118"/>
      <w:bookmarkEnd w:id="0"/>
      <w:bookmarkStart w:id="1" w:name="OLE_LINK144"/>
      <w:bookmarkEnd w:id="1"/>
      <w:bookmarkStart w:id="2" w:name="OLE_LINK20"/>
      <w:bookmarkEnd w:id="2"/>
      <w:bookmarkStart w:id="3" w:name="_Hlk256157143"/>
      <w:bookmarkEnd w:id="3"/>
      <w:bookmarkStart w:id="4" w:name="OLE_LINK150"/>
      <w:bookmarkEnd w:id="4"/>
      <w:bookmarkStart w:id="5" w:name="OLE_LINK179"/>
      <w:bookmarkEnd w:id="5"/>
      <w:bookmarkStart w:id="6" w:name="OLE_LINK2"/>
      <w:bookmarkEnd w:id="6"/>
      <w:bookmarkStart w:id="7" w:name="OLE_LINK137"/>
      <w:bookmarkEnd w:id="7"/>
      <w:bookmarkStart w:id="8" w:name="OLE_LINK155"/>
      <w:bookmarkEnd w:id="8"/>
      <w:bookmarkStart w:id="9" w:name="OLE_LINK21"/>
      <w:bookmarkEnd w:id="9"/>
      <w:bookmarkStart w:id="10" w:name="OLE_LINK161"/>
      <w:bookmarkEnd w:id="10"/>
      <w:bookmarkStart w:id="11" w:name="OLE_LINK80"/>
      <w:bookmarkEnd w:id="11"/>
      <w:bookmarkStart w:id="12" w:name="OLE_LINK177"/>
      <w:bookmarkEnd w:id="12"/>
      <w:bookmarkStart w:id="13" w:name="OLE_LINK22"/>
      <w:bookmarkEnd w:id="13"/>
      <w:bookmarkStart w:id="14" w:name="OLE_LINK173"/>
      <w:bookmarkEnd w:id="14"/>
      <w:bookmarkStart w:id="15" w:name="OLE_LINK157"/>
      <w:bookmarkEnd w:id="15"/>
      <w:bookmarkStart w:id="16" w:name="OLE_LINK159"/>
      <w:bookmarkEnd w:id="16"/>
      <w:r>
        <w:rPr>
          <w:rFonts w:hint="eastAsia" w:ascii="宋体" w:hAnsi="宋体" w:eastAsia="宋体" w:cs="Times New Roman"/>
          <w:b/>
          <w:kern w:val="2"/>
          <w:szCs w:val="21"/>
          <w:lang w:val="en-US" w:eastAsia="zh-CN" w:bidi="ar-SA"/>
        </w:rPr>
        <w:t>总则</w:t>
      </w:r>
    </w:p>
    <w:p>
      <w:pPr>
        <w:keepNext w:val="0"/>
        <w:keepLines w:val="0"/>
        <w:pageBreakBefore w:val="0"/>
        <w:widowControl w:val="0"/>
        <w:kinsoku/>
        <w:wordWrap/>
        <w:overflowPunct/>
        <w:topLinePunct w:val="0"/>
        <w:bidi w:val="0"/>
        <w:spacing w:after="156" w:afterLines="50"/>
        <w:ind w:firstLine="422" w:firstLineChars="200"/>
        <w:textAlignment w:val="auto"/>
        <w:rPr>
          <w:rFonts w:ascii="宋体" w:hAnsi="宋体"/>
          <w:kern w:val="0"/>
          <w:szCs w:val="21"/>
        </w:rPr>
      </w:pPr>
      <w:r>
        <w:rPr>
          <w:rFonts w:hint="eastAsia" w:ascii="宋体" w:hAnsi="宋体"/>
          <w:b/>
          <w:bCs/>
          <w:kern w:val="0"/>
        </w:rPr>
        <w:t>第一条</w:t>
      </w:r>
      <w:r>
        <w:rPr>
          <w:rFonts w:hint="eastAsia" w:ascii="宋体" w:hAnsi="宋体"/>
          <w:b/>
          <w:bCs/>
          <w:kern w:val="0"/>
          <w:lang w:val="en-US" w:eastAsia="zh-CN"/>
        </w:rPr>
        <w:t xml:space="preserve"> </w:t>
      </w:r>
      <w:r>
        <w:rPr>
          <w:rFonts w:hint="eastAsia" w:ascii="宋体" w:hAnsi="宋体" w:eastAsia="宋体" w:cs="Times New Roman"/>
          <w:b w:val="0"/>
          <w:bCs/>
          <w:kern w:val="2"/>
          <w:szCs w:val="21"/>
          <w:lang w:val="en-US" w:eastAsia="zh-CN" w:bidi="ar-SA"/>
        </w:rPr>
        <w:t>鼎和财险各类意外伤害保险合同</w:t>
      </w:r>
      <w:r>
        <w:rPr>
          <w:rFonts w:hint="eastAsia" w:ascii="宋体" w:hAnsi="宋体" w:cs="宋体"/>
          <w:kern w:val="0"/>
        </w:rPr>
        <w:t>为本附加险合同的主险合同（以下简称“主险合同”）。主险合同所附条款、投保单、保险单、保险凭证以及批单等，凡与本附加险合同相关者，均为本附加险合同的构成部分。凡涉及本附加险合同的约定，均应采用书面形式。</w:t>
      </w:r>
    </w:p>
    <w:p>
      <w:pPr>
        <w:keepNext w:val="0"/>
        <w:keepLines w:val="0"/>
        <w:pageBreakBefore w:val="0"/>
        <w:widowControl w:val="0"/>
        <w:kinsoku/>
        <w:wordWrap/>
        <w:overflowPunct/>
        <w:topLinePunct w:val="0"/>
        <w:bidi w:val="0"/>
        <w:spacing w:after="156" w:afterLines="50"/>
        <w:ind w:firstLine="422" w:firstLineChars="200"/>
        <w:textAlignment w:val="auto"/>
        <w:rPr>
          <w:rFonts w:hint="eastAsia" w:ascii="宋体" w:hAnsi="宋体"/>
          <w:b/>
          <w:bCs/>
          <w:kern w:val="0"/>
          <w:szCs w:val="21"/>
        </w:rPr>
      </w:pPr>
      <w:r>
        <w:rPr>
          <w:rFonts w:hint="eastAsia" w:ascii="宋体" w:hAnsi="宋体" w:cs="宋体"/>
          <w:b/>
          <w:kern w:val="0"/>
          <w:szCs w:val="21"/>
        </w:rPr>
        <w:t>第二条</w:t>
      </w:r>
      <w:r>
        <w:rPr>
          <w:rFonts w:hint="eastAsia" w:ascii="宋体" w:hAnsi="宋体" w:cs="宋体"/>
          <w:b/>
          <w:kern w:val="0"/>
          <w:szCs w:val="21"/>
          <w:lang w:val="en-US" w:eastAsia="zh-CN"/>
        </w:rPr>
        <w:t xml:space="preserve"> </w:t>
      </w:r>
      <w:r>
        <w:rPr>
          <w:rFonts w:hint="eastAsia" w:ascii="宋体" w:hAnsi="宋体"/>
          <w:b/>
          <w:bCs/>
          <w:kern w:val="0"/>
          <w:szCs w:val="21"/>
        </w:rPr>
        <w:t>本附加险合同与主险合同的条款内容相悖之处，以本附加险合同的条款为准；本附加险合同未尽之处，以主险合同为准。主险合同效力终止，本附加险合同效力亦同时终止；主险合同无效，本附加险合同亦无效。</w:t>
      </w:r>
    </w:p>
    <w:p>
      <w:pPr>
        <w:keepNext w:val="0"/>
        <w:keepLines w:val="0"/>
        <w:pageBreakBefore w:val="0"/>
        <w:widowControl w:val="0"/>
        <w:kinsoku/>
        <w:wordWrap/>
        <w:overflowPunct/>
        <w:topLinePunct w:val="0"/>
        <w:bidi w:val="0"/>
        <w:spacing w:after="156" w:afterLines="50"/>
        <w:jc w:val="center"/>
        <w:textAlignment w:val="auto"/>
        <w:rPr>
          <w:rFonts w:hint="eastAsia" w:ascii="宋体" w:hAnsi="宋体"/>
          <w:b/>
          <w:bCs/>
          <w:kern w:val="0"/>
          <w:szCs w:val="21"/>
        </w:rPr>
      </w:pPr>
      <w:r>
        <w:rPr>
          <w:rFonts w:hint="eastAsia" w:ascii="宋体" w:hAnsi="宋体" w:eastAsia="宋体"/>
          <w:b/>
          <w:bCs/>
          <w:kern w:val="2"/>
          <w:szCs w:val="21"/>
          <w:lang w:val="en-US" w:eastAsia="zh-CN" w:bidi="ar-SA"/>
        </w:rPr>
        <w:t>保险责任</w:t>
      </w:r>
    </w:p>
    <w:p>
      <w:pPr>
        <w:pStyle w:val="4"/>
        <w:keepNext w:val="0"/>
        <w:keepLines w:val="0"/>
        <w:pageBreakBefore w:val="0"/>
        <w:widowControl w:val="0"/>
        <w:kinsoku/>
        <w:wordWrap/>
        <w:overflowPunct/>
        <w:topLinePunct w:val="0"/>
        <w:bidi w:val="0"/>
        <w:adjustRightInd/>
        <w:spacing w:after="156" w:afterLines="50"/>
        <w:ind w:firstLine="422" w:firstLineChars="200"/>
        <w:jc w:val="left"/>
        <w:textAlignment w:val="auto"/>
        <w:rPr>
          <w:rFonts w:hint="eastAsia" w:cs="仿宋_GB2312"/>
          <w:b w:val="0"/>
          <w:bCs/>
          <w:sz w:val="21"/>
          <w:szCs w:val="21"/>
          <w:lang w:val="en-US" w:eastAsia="zh-CN"/>
        </w:rPr>
      </w:pPr>
      <w:r>
        <w:rPr>
          <w:rFonts w:hint="eastAsia" w:cs="仿宋_GB2312"/>
          <w:b/>
          <w:sz w:val="21"/>
          <w:szCs w:val="21"/>
          <w:lang w:val="zh-CN"/>
        </w:rPr>
        <w:t>第三条</w:t>
      </w:r>
      <w:r>
        <w:rPr>
          <w:rFonts w:hint="eastAsia" w:cs="仿宋_GB2312"/>
          <w:b/>
          <w:sz w:val="21"/>
          <w:szCs w:val="21"/>
          <w:lang w:val="en-US" w:eastAsia="zh-CN"/>
        </w:rPr>
        <w:t xml:space="preserve"> </w:t>
      </w:r>
      <w:r>
        <w:rPr>
          <w:rFonts w:hint="eastAsia" w:cs="仿宋_GB2312"/>
          <w:b w:val="0"/>
          <w:bCs/>
          <w:sz w:val="21"/>
          <w:szCs w:val="21"/>
          <w:lang w:val="en-US" w:eastAsia="zh-CN"/>
        </w:rPr>
        <w:t>经投保人和保险人双方约定，可对伤残评定标准及保险金给付比例按下列约定调整：</w:t>
      </w:r>
    </w:p>
    <w:p>
      <w:pPr>
        <w:keepNext w:val="0"/>
        <w:keepLines w:val="0"/>
        <w:pageBreakBefore w:val="0"/>
        <w:widowControl w:val="0"/>
        <w:kinsoku/>
        <w:wordWrap/>
        <w:overflowPunct/>
        <w:topLinePunct w:val="0"/>
        <w:bidi w:val="0"/>
        <w:adjustRightInd w:val="0"/>
        <w:snapToGrid w:val="0"/>
        <w:spacing w:after="156" w:afterLines="50"/>
        <w:ind w:firstLine="420" w:firstLineChars="200"/>
        <w:jc w:val="left"/>
        <w:textAlignment w:val="auto"/>
        <w:rPr>
          <w:rFonts w:hint="eastAsia" w:cs="仿宋_GB2312"/>
          <w:b/>
          <w:bCs w:val="0"/>
          <w:sz w:val="21"/>
          <w:szCs w:val="21"/>
          <w:lang w:val="en-US" w:eastAsia="zh-CN"/>
        </w:rPr>
      </w:pPr>
      <w:r>
        <w:rPr>
          <w:rFonts w:hint="eastAsia" w:cs="仿宋_GB2312"/>
          <w:b w:val="0"/>
          <w:bCs/>
          <w:sz w:val="21"/>
          <w:szCs w:val="21"/>
          <w:lang w:val="en-US" w:eastAsia="zh-CN"/>
        </w:rPr>
        <w:t>在保险期间内，被保险人遭受意外伤害，并自该意外伤害发生之日起180日内因该意外伤害造成</w:t>
      </w:r>
      <w:r>
        <w:rPr>
          <w:rFonts w:hint="eastAsia" w:cs="仿宋_GB2312"/>
          <w:b/>
          <w:bCs w:val="0"/>
          <w:sz w:val="21"/>
          <w:szCs w:val="21"/>
          <w:lang w:val="en-US" w:eastAsia="zh-CN"/>
        </w:rPr>
        <w:t>《劳动能力鉴定职工工伤与职业病致残等级》（见释义）</w:t>
      </w:r>
      <w:r>
        <w:rPr>
          <w:rFonts w:hint="eastAsia" w:cs="仿宋_GB2312"/>
          <w:b w:val="0"/>
          <w:bCs/>
          <w:sz w:val="21"/>
          <w:szCs w:val="21"/>
          <w:lang w:val="en-US" w:eastAsia="zh-CN"/>
        </w:rPr>
        <w:t>所列伤残程度之一的，</w:t>
      </w:r>
      <w:r>
        <w:rPr>
          <w:rFonts w:hint="eastAsia" w:cs="仿宋_GB2312"/>
          <w:b/>
          <w:bCs w:val="0"/>
          <w:sz w:val="21"/>
          <w:szCs w:val="21"/>
          <w:lang w:val="en-US" w:eastAsia="zh-CN"/>
        </w:rPr>
        <w:t>保险人按评定的伤残等级在本附加险条款附表中对应的给付比例乘以所适用保险责任的保险金额给付伤残保险金。</w:t>
      </w:r>
      <w:r>
        <w:rPr>
          <w:rFonts w:hint="eastAsia" w:cs="仿宋_GB2312"/>
          <w:b w:val="0"/>
          <w:bCs/>
          <w:sz w:val="21"/>
          <w:szCs w:val="21"/>
          <w:lang w:val="en-US" w:eastAsia="zh-CN"/>
        </w:rPr>
        <w:t>如第180日治疗仍未结束的，按当日的身体情况进行伤残评定，并据此给付伤残保险金。</w:t>
      </w:r>
    </w:p>
    <w:p>
      <w:pPr>
        <w:keepNext w:val="0"/>
        <w:keepLines w:val="0"/>
        <w:pageBreakBefore w:val="0"/>
        <w:widowControl w:val="0"/>
        <w:kinsoku/>
        <w:wordWrap/>
        <w:overflowPunct/>
        <w:topLinePunct w:val="0"/>
        <w:bidi w:val="0"/>
        <w:adjustRightInd w:val="0"/>
        <w:snapToGrid w:val="0"/>
        <w:spacing w:after="156" w:afterLines="50"/>
        <w:ind w:firstLine="420" w:firstLineChars="200"/>
        <w:jc w:val="left"/>
        <w:textAlignment w:val="auto"/>
        <w:rPr>
          <w:rFonts w:hint="eastAsia" w:cs="仿宋_GB2312"/>
          <w:b w:val="0"/>
          <w:bCs/>
          <w:sz w:val="21"/>
          <w:szCs w:val="21"/>
          <w:lang w:val="en-US" w:eastAsia="zh-CN"/>
        </w:rPr>
      </w:pPr>
      <w:r>
        <w:rPr>
          <w:rFonts w:hint="eastAsia" w:cs="仿宋_GB2312"/>
          <w:b w:val="0"/>
          <w:bCs/>
          <w:sz w:val="21"/>
          <w:szCs w:val="21"/>
          <w:lang w:val="en-US" w:eastAsia="zh-CN"/>
        </w:rPr>
        <w:t>（1）被保险人因同一意外伤害造成两处或两处以上伤残时，所采用的伤残评定标准未约定多处伤残评定原则的，如果几处伤残等级不同，以最重的伤残等级作为最终的评定结论；如果两处或两处以上伤残等级相同，伤残等级在原评定基础上最多晋升一级，</w:t>
      </w:r>
      <w:r>
        <w:rPr>
          <w:rFonts w:hint="eastAsia" w:cs="仿宋_GB2312"/>
          <w:b/>
          <w:bCs w:val="0"/>
          <w:sz w:val="21"/>
          <w:szCs w:val="21"/>
          <w:lang w:val="en-US" w:eastAsia="zh-CN"/>
        </w:rPr>
        <w:t>最高晋升至第一级</w:t>
      </w:r>
      <w:r>
        <w:rPr>
          <w:rFonts w:hint="eastAsia" w:cs="仿宋_GB2312"/>
          <w:b w:val="0"/>
          <w:bCs/>
          <w:sz w:val="21"/>
          <w:szCs w:val="21"/>
          <w:lang w:val="en-US" w:eastAsia="zh-CN"/>
        </w:rPr>
        <w:t>。</w:t>
      </w:r>
    </w:p>
    <w:p>
      <w:pPr>
        <w:keepNext w:val="0"/>
        <w:keepLines w:val="0"/>
        <w:pageBreakBefore w:val="0"/>
        <w:widowControl w:val="0"/>
        <w:kinsoku/>
        <w:wordWrap/>
        <w:overflowPunct/>
        <w:topLinePunct w:val="0"/>
        <w:bidi w:val="0"/>
        <w:adjustRightInd w:val="0"/>
        <w:snapToGrid w:val="0"/>
        <w:spacing w:after="156" w:afterLines="50"/>
        <w:ind w:firstLine="420" w:firstLineChars="200"/>
        <w:jc w:val="left"/>
        <w:textAlignment w:val="auto"/>
        <w:rPr>
          <w:rFonts w:hint="eastAsia" w:cs="仿宋_GB2312"/>
          <w:b w:val="0"/>
          <w:bCs/>
          <w:sz w:val="21"/>
          <w:szCs w:val="21"/>
          <w:lang w:val="en-US" w:eastAsia="zh-CN"/>
        </w:rPr>
      </w:pPr>
      <w:r>
        <w:rPr>
          <w:rFonts w:hint="eastAsia" w:cs="仿宋_GB2312"/>
          <w:b w:val="0"/>
          <w:bCs/>
          <w:sz w:val="21"/>
          <w:szCs w:val="21"/>
          <w:lang w:val="en-US" w:eastAsia="zh-CN"/>
        </w:rPr>
        <w:t>（2）被保险人如在本次意外伤害之前已有残疾，</w:t>
      </w:r>
      <w:r>
        <w:rPr>
          <w:rFonts w:hint="eastAsia" w:cs="仿宋_GB2312"/>
          <w:b/>
          <w:bCs w:val="0"/>
          <w:sz w:val="21"/>
          <w:szCs w:val="21"/>
          <w:lang w:val="en-US" w:eastAsia="zh-CN"/>
        </w:rPr>
        <w:t>保险人按合并后的伤残程度在所采用伤残评定标准中所对应伤残等级的给付比例，扣除原有伤残程度在所采用伤残评定标准中所对应伤残等级的给付比例</w:t>
      </w:r>
      <w:r>
        <w:rPr>
          <w:rFonts w:hint="eastAsia" w:cs="仿宋_GB2312"/>
          <w:b w:val="0"/>
          <w:bCs/>
          <w:sz w:val="21"/>
          <w:szCs w:val="21"/>
          <w:lang w:val="en-US" w:eastAsia="zh-CN"/>
        </w:rPr>
        <w:t>，给付伤残保险金。</w:t>
      </w:r>
    </w:p>
    <w:p>
      <w:pPr>
        <w:keepNext w:val="0"/>
        <w:keepLines w:val="0"/>
        <w:pageBreakBefore w:val="0"/>
        <w:widowControl w:val="0"/>
        <w:kinsoku/>
        <w:wordWrap/>
        <w:overflowPunct/>
        <w:topLinePunct w:val="0"/>
        <w:autoSpaceDE/>
        <w:autoSpaceDN/>
        <w:bidi w:val="0"/>
        <w:adjustRightInd w:val="0"/>
        <w:snapToGrid w:val="0"/>
        <w:spacing w:after="156" w:afterLines="50"/>
        <w:ind w:firstLine="0" w:firstLineChars="0"/>
        <w:jc w:val="center"/>
        <w:textAlignment w:val="auto"/>
        <w:rPr>
          <w:rFonts w:hint="eastAsia" w:cs="仿宋_GB2312"/>
          <w:b/>
          <w:bCs w:val="0"/>
          <w:sz w:val="21"/>
          <w:szCs w:val="21"/>
          <w:lang w:val="en-US" w:eastAsia="zh-CN"/>
        </w:rPr>
      </w:pPr>
      <w:r>
        <w:rPr>
          <w:rFonts w:hint="eastAsia" w:cs="仿宋_GB2312"/>
          <w:b/>
          <w:bCs w:val="0"/>
          <w:sz w:val="21"/>
          <w:szCs w:val="21"/>
          <w:lang w:val="en-US" w:eastAsia="zh-CN"/>
        </w:rPr>
        <w:t>释义</w:t>
      </w:r>
    </w:p>
    <w:p>
      <w:pPr>
        <w:keepNext w:val="0"/>
        <w:keepLines w:val="0"/>
        <w:pageBreakBefore w:val="0"/>
        <w:widowControl w:val="0"/>
        <w:kinsoku/>
        <w:wordWrap/>
        <w:overflowPunct/>
        <w:topLinePunct w:val="0"/>
        <w:bidi w:val="0"/>
        <w:adjustRightInd w:val="0"/>
        <w:snapToGrid w:val="0"/>
        <w:spacing w:after="156" w:afterLines="50"/>
        <w:ind w:firstLine="422" w:firstLineChars="200"/>
        <w:jc w:val="left"/>
        <w:textAlignment w:val="auto"/>
        <w:rPr>
          <w:rFonts w:hint="eastAsia" w:cs="仿宋_GB2312"/>
          <w:b w:val="0"/>
          <w:bCs/>
          <w:sz w:val="21"/>
          <w:szCs w:val="21"/>
          <w:lang w:val="en-US" w:eastAsia="zh-CN"/>
        </w:rPr>
      </w:pPr>
      <w:r>
        <w:rPr>
          <w:rFonts w:hint="eastAsia" w:cs="仿宋_GB2312"/>
          <w:b/>
          <w:bCs w:val="0"/>
          <w:sz w:val="21"/>
          <w:szCs w:val="21"/>
          <w:lang w:val="en-US" w:eastAsia="zh-CN"/>
        </w:rPr>
        <w:t>《劳动能力鉴定职工工伤与职业病致残等级》：</w:t>
      </w:r>
      <w:r>
        <w:rPr>
          <w:rFonts w:hint="eastAsia" w:cs="仿宋_GB2312"/>
          <w:b w:val="0"/>
          <w:bCs/>
          <w:sz w:val="21"/>
          <w:szCs w:val="21"/>
          <w:lang w:val="en-US" w:eastAsia="zh-CN"/>
        </w:rPr>
        <w:t>指由国家质量监督检验检疫总局、国家标准化管理委员会发布的《劳动能力鉴定职工工伤与职业病致残等级》（（GB/T16180-2014，中华人民共和国国家标准公告2014年第21号）。如该标准重新修订，则以最新修订的版本为准。</w:t>
      </w:r>
    </w:p>
    <w:p>
      <w:pPr>
        <w:keepNext w:val="0"/>
        <w:keepLines w:val="0"/>
        <w:pageBreakBefore w:val="0"/>
        <w:widowControl w:val="0"/>
        <w:kinsoku/>
        <w:wordWrap/>
        <w:overflowPunct/>
        <w:topLinePunct w:val="0"/>
        <w:bidi w:val="0"/>
        <w:adjustRightInd w:val="0"/>
        <w:snapToGrid w:val="0"/>
        <w:spacing w:after="156" w:afterLines="50"/>
        <w:ind w:firstLine="420" w:firstLineChars="200"/>
        <w:jc w:val="left"/>
        <w:textAlignment w:val="auto"/>
        <w:rPr>
          <w:rFonts w:hint="eastAsia" w:cs="仿宋_GB2312"/>
          <w:b w:val="0"/>
          <w:bCs/>
          <w:sz w:val="21"/>
          <w:szCs w:val="21"/>
          <w:lang w:val="en-US" w:eastAsia="zh-CN"/>
        </w:rPr>
      </w:pPr>
      <w:r>
        <w:rPr>
          <w:rFonts w:hint="eastAsia" w:cs="仿宋_GB2312"/>
          <w:b w:val="0"/>
          <w:bCs/>
          <w:sz w:val="21"/>
          <w:szCs w:val="21"/>
          <w:lang w:val="en-US" w:eastAsia="zh-CN"/>
        </w:rPr>
        <w:t>附表：</w:t>
      </w:r>
    </w:p>
    <w:tbl>
      <w:tblPr>
        <w:tblStyle w:val="2"/>
        <w:tblW w:w="4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7" w:type="dxa"/>
          <w:bottom w:w="0" w:type="dxa"/>
          <w:right w:w="107" w:type="dxa"/>
        </w:tblCellMar>
      </w:tblPr>
      <w:tblGrid>
        <w:gridCol w:w="3369"/>
        <w:gridCol w:w="34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b/>
                <w:bCs/>
                <w:kern w:val="0"/>
                <w:szCs w:val="21"/>
              </w:rPr>
            </w:pPr>
            <w:r>
              <w:rPr>
                <w:rFonts w:hint="eastAsia" w:ascii="宋体" w:hAnsi="宋体"/>
                <w:b/>
                <w:bCs/>
                <w:kern w:val="0"/>
                <w:szCs w:val="21"/>
              </w:rPr>
              <w:t>伤残等级</w:t>
            </w:r>
          </w:p>
        </w:tc>
        <w:tc>
          <w:tcPr>
            <w:tcW w:w="4187" w:type="dxa"/>
            <w:vAlign w:val="center"/>
          </w:tcPr>
          <w:p>
            <w:pPr>
              <w:jc w:val="center"/>
              <w:rPr>
                <w:rFonts w:ascii="宋体" w:hAnsi="宋体"/>
                <w:b/>
                <w:bCs/>
                <w:kern w:val="0"/>
                <w:szCs w:val="21"/>
              </w:rPr>
            </w:pPr>
            <w:r>
              <w:rPr>
                <w:rFonts w:hint="eastAsia" w:ascii="宋体" w:hAnsi="宋体"/>
                <w:b/>
                <w:bCs/>
                <w:kern w:val="0"/>
                <w:szCs w:val="21"/>
              </w:rPr>
              <w:t>保险合同约定每人伤残赔偿限额的百分比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永久丧失工作能力或一级伤残</w:t>
            </w:r>
          </w:p>
        </w:tc>
        <w:tc>
          <w:tcPr>
            <w:tcW w:w="4187" w:type="dxa"/>
            <w:vAlign w:val="center"/>
          </w:tcPr>
          <w:p>
            <w:pPr>
              <w:jc w:val="center"/>
              <w:rPr>
                <w:rFonts w:ascii="宋体" w:hAnsi="宋体"/>
                <w:kern w:val="0"/>
                <w:szCs w:val="21"/>
              </w:rPr>
            </w:pPr>
            <w:r>
              <w:rPr>
                <w:rFonts w:hint="eastAsia" w:ascii="宋体" w:hAnsi="宋体"/>
                <w:kern w:val="0"/>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二级伤残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75</w:t>
            </w:r>
            <w:r>
              <w:rPr>
                <w:rFonts w:hint="eastAsia" w:ascii="宋体" w:hAnsi="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三级伤残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5</w:t>
            </w:r>
            <w:r>
              <w:rPr>
                <w:rFonts w:hint="eastAsia" w:ascii="宋体" w:hAnsi="宋体"/>
                <w:kern w:val="0"/>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四级伤残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3</w:t>
            </w:r>
            <w:r>
              <w:rPr>
                <w:rFonts w:hint="eastAsia" w:ascii="宋体" w:hAnsi="宋体"/>
                <w:kern w:val="0"/>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五级伤残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15</w:t>
            </w:r>
            <w:r>
              <w:rPr>
                <w:rFonts w:hint="eastAsia" w:ascii="宋体" w:hAnsi="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六级伤残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12</w:t>
            </w:r>
            <w:r>
              <w:rPr>
                <w:rFonts w:hint="eastAsia" w:ascii="宋体" w:hAnsi="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七级伤残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7</w:t>
            </w:r>
            <w:r>
              <w:rPr>
                <w:rFonts w:hint="eastAsia" w:ascii="宋体" w:hAnsi="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八级伤残</w:t>
            </w:r>
          </w:p>
        </w:tc>
        <w:tc>
          <w:tcPr>
            <w:tcW w:w="4187" w:type="dxa"/>
            <w:vAlign w:val="center"/>
          </w:tcPr>
          <w:p>
            <w:pPr>
              <w:jc w:val="center"/>
              <w:rPr>
                <w:rFonts w:ascii="宋体" w:hAnsi="宋体"/>
                <w:kern w:val="0"/>
                <w:szCs w:val="21"/>
              </w:rPr>
            </w:pPr>
            <w:r>
              <w:rPr>
                <w:rFonts w:hint="eastAsia" w:ascii="宋体" w:hAnsi="宋体"/>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九级伤残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3</w:t>
            </w:r>
            <w:r>
              <w:rPr>
                <w:rFonts w:hint="eastAsia" w:ascii="宋体" w:hAnsi="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7" w:type="dxa"/>
            <w:bottom w:w="0" w:type="dxa"/>
            <w:right w:w="107" w:type="dxa"/>
          </w:tblCellMar>
        </w:tblPrEx>
        <w:trPr>
          <w:cantSplit/>
          <w:trHeight w:val="340" w:hRule="atLeast"/>
          <w:jc w:val="center"/>
        </w:trPr>
        <w:tc>
          <w:tcPr>
            <w:tcW w:w="4103" w:type="dxa"/>
            <w:vAlign w:val="center"/>
          </w:tcPr>
          <w:p>
            <w:pPr>
              <w:jc w:val="center"/>
              <w:rPr>
                <w:rFonts w:ascii="宋体" w:hAnsi="宋体"/>
                <w:kern w:val="0"/>
                <w:szCs w:val="21"/>
              </w:rPr>
            </w:pPr>
            <w:r>
              <w:rPr>
                <w:rFonts w:hint="eastAsia" w:ascii="宋体" w:hAnsi="宋体"/>
                <w:kern w:val="0"/>
                <w:szCs w:val="21"/>
              </w:rPr>
              <w:t>十级伤残</w:t>
            </w:r>
          </w:p>
        </w:tc>
        <w:tc>
          <w:tcPr>
            <w:tcW w:w="4187" w:type="dxa"/>
            <w:vAlign w:val="center"/>
          </w:tcPr>
          <w:p>
            <w:pPr>
              <w:jc w:val="center"/>
              <w:rPr>
                <w:rFonts w:ascii="宋体" w:hAnsi="宋体"/>
                <w:kern w:val="0"/>
                <w:szCs w:val="21"/>
              </w:rPr>
            </w:pPr>
            <w:r>
              <w:rPr>
                <w:rFonts w:hint="eastAsia" w:ascii="宋体" w:hAnsi="宋体"/>
                <w:kern w:val="0"/>
                <w:szCs w:val="21"/>
                <w:lang w:val="en-US" w:eastAsia="zh-CN"/>
              </w:rPr>
              <w:t>1</w:t>
            </w:r>
            <w:r>
              <w:rPr>
                <w:rFonts w:hint="eastAsia" w:ascii="宋体" w:hAnsi="宋体"/>
                <w:kern w:val="0"/>
                <w:szCs w:val="21"/>
              </w:rPr>
              <w:t>%</w:t>
            </w:r>
          </w:p>
        </w:tc>
      </w:tr>
    </w:tbl>
    <w:p>
      <w:pPr>
        <w:keepNext w:val="0"/>
        <w:keepLines w:val="0"/>
        <w:pageBreakBefore w:val="0"/>
        <w:widowControl w:val="0"/>
        <w:kinsoku/>
        <w:wordWrap/>
        <w:overflowPunct/>
        <w:topLinePunct w:val="0"/>
        <w:bidi w:val="0"/>
        <w:adjustRightInd w:val="0"/>
        <w:snapToGrid w:val="0"/>
        <w:spacing w:after="156" w:afterLines="50"/>
        <w:ind w:firstLine="420" w:firstLineChars="200"/>
        <w:jc w:val="left"/>
        <w:textAlignment w:val="auto"/>
        <w:rPr>
          <w:rFonts w:hint="default" w:cs="仿宋_GB2312"/>
          <w:b w:val="0"/>
          <w:bCs/>
          <w:sz w:val="21"/>
          <w:szCs w:val="21"/>
          <w:lang w:val="en-US" w:eastAsia="zh-CN"/>
        </w:rPr>
      </w:pPr>
    </w:p>
    <w:p>
      <w:pPr>
        <w:pStyle w:val="5"/>
        <w:keepNext w:val="0"/>
        <w:keepLines w:val="0"/>
        <w:pageBreakBefore w:val="0"/>
        <w:widowControl w:val="0"/>
        <w:kinsoku/>
        <w:wordWrap/>
        <w:overflowPunct/>
        <w:topLinePunct w:val="0"/>
        <w:bidi w:val="0"/>
        <w:snapToGrid/>
        <w:spacing w:after="0" w:afterLines="50" w:line="240" w:lineRule="auto"/>
        <w:ind w:left="0" w:leftChars="0" w:firstLine="0" w:firstLineChars="0"/>
        <w:textAlignment w:val="auto"/>
      </w:pPr>
    </w:p>
    <w:p/>
    <w:sectPr>
      <w:pgSz w:w="11900" w:h="16840"/>
      <w:pgMar w:top="1440" w:right="1803" w:bottom="1440" w:left="1803" w:header="0" w:footer="26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3B53D7"/>
    <w:rsid w:val="20E27513"/>
    <w:rsid w:val="2A38053E"/>
    <w:rsid w:val="2C3B53D7"/>
    <w:rsid w:val="487073E8"/>
    <w:rsid w:val="59083A78"/>
    <w:rsid w:val="59AE6B24"/>
    <w:rsid w:val="5B2C0AA1"/>
    <w:rsid w:val="65AF261B"/>
    <w:rsid w:val="72AF6E53"/>
    <w:rsid w:val="7C9A42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Default"/>
    <w:qFormat/>
    <w:uiPriority w:val="0"/>
    <w:pPr>
      <w:widowControl w:val="0"/>
      <w:autoSpaceDE w:val="0"/>
      <w:autoSpaceDN w:val="0"/>
      <w:adjustRightInd w:val="0"/>
    </w:pPr>
    <w:rPr>
      <w:rFonts w:ascii="宋体" w:hAnsi="宋体" w:eastAsia="宋体" w:cs="宋体"/>
      <w:color w:val="000000"/>
      <w:kern w:val="0"/>
      <w:sz w:val="24"/>
      <w:szCs w:val="24"/>
      <w:lang w:val="en-US" w:eastAsia="zh-CN" w:bidi="ar-SA"/>
    </w:rPr>
  </w:style>
  <w:style w:type="paragraph" w:customStyle="1" w:styleId="5">
    <w:name w:val="列出段落11"/>
    <w:basedOn w:val="1"/>
    <w:qFormat/>
    <w:uiPriority w:val="34"/>
    <w:pPr>
      <w:ind w:firstLine="420" w:firstLineChars="200"/>
    </w:pPr>
    <w:rPr>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2023-03-22T07:15:00Z</dcterms:created>
  <dc:creator>陈莉</dc:creator>
  <cp:lastModifiedBy>陈安然</cp:lastModifiedBy>
  <dcterms:modified xsi:type="dcterms:W3CDTF">2023-11-28T07:20:29Z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1055A56A9BF747ED95207DAF36D38383</vt:lpwstr>
  </property>
</Properties>
</file>